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19A3" w14:textId="77777777" w:rsidR="008A0DF8" w:rsidRDefault="008A0DF8" w:rsidP="008A0DF8">
      <w:bookmarkStart w:id="0" w:name="_Hlk162032433"/>
    </w:p>
    <w:p w14:paraId="520833AB" w14:textId="77777777" w:rsidR="008A0DF8" w:rsidRPr="00BE7814" w:rsidRDefault="008A0DF8" w:rsidP="008A0DF8">
      <w:pPr>
        <w:pStyle w:val="Heading1"/>
        <w:jc w:val="center"/>
        <w:rPr>
          <w:rFonts w:ascii="HoloLens MDL2 Assets" w:eastAsiaTheme="minorEastAsia" w:hAnsi="HoloLens MDL2 Assets" w:cstheme="minorBidi"/>
          <w:bCs w:val="0"/>
          <w:caps w:val="0"/>
          <w:color w:val="1F3864" w:themeColor="accent1" w:themeShade="80"/>
          <w:spacing w:val="0"/>
          <w:sz w:val="34"/>
          <w:szCs w:val="32"/>
        </w:rPr>
      </w:pPr>
      <w:r w:rsidRPr="00BE7814">
        <w:rPr>
          <w:rFonts w:ascii="HoloLens MDL2 Assets" w:eastAsiaTheme="minorEastAsia" w:hAnsi="HoloLens MDL2 Assets" w:cstheme="minorBidi"/>
          <w:bCs w:val="0"/>
          <w:caps w:val="0"/>
          <w:color w:val="1F3864" w:themeColor="accent1" w:themeShade="80"/>
          <w:spacing w:val="0"/>
          <w:sz w:val="34"/>
          <w:szCs w:val="32"/>
        </w:rPr>
        <w:t xml:space="preserve">Agenda </w:t>
      </w:r>
    </w:p>
    <w:p w14:paraId="1FB2FC77" w14:textId="77777777" w:rsidR="008A0DF8" w:rsidRPr="00BE7814" w:rsidRDefault="008A0DF8" w:rsidP="008A0DF8">
      <w:pPr>
        <w:pStyle w:val="Heading1"/>
        <w:spacing w:after="0"/>
        <w:jc w:val="center"/>
        <w:rPr>
          <w:rFonts w:ascii="HoloLens MDL2 Assets" w:eastAsiaTheme="minorEastAsia" w:hAnsi="HoloLens MDL2 Assets" w:cstheme="minorBidi"/>
          <w:bCs w:val="0"/>
          <w:caps w:val="0"/>
          <w:color w:val="1F3864" w:themeColor="accent1" w:themeShade="80"/>
          <w:spacing w:val="0"/>
          <w:sz w:val="34"/>
          <w:szCs w:val="32"/>
        </w:rPr>
      </w:pPr>
      <w:r w:rsidRPr="00BE7814">
        <w:rPr>
          <w:rFonts w:ascii="HoloLens MDL2 Assets" w:eastAsiaTheme="minorEastAsia" w:hAnsi="HoloLens MDL2 Assets" w:cstheme="minorBidi"/>
          <w:bCs w:val="0"/>
          <w:caps w:val="0"/>
          <w:color w:val="1F3864" w:themeColor="accent1" w:themeShade="80"/>
          <w:spacing w:val="0"/>
          <w:sz w:val="34"/>
          <w:szCs w:val="32"/>
        </w:rPr>
        <w:t>Forumul de Afaceri Rom</w:t>
      </w:r>
      <w:r w:rsidRPr="00BE7814">
        <w:rPr>
          <w:rFonts w:ascii="Cambria" w:eastAsiaTheme="minorEastAsia" w:hAnsi="Cambria" w:cs="Cambria"/>
          <w:bCs w:val="0"/>
          <w:caps w:val="0"/>
          <w:color w:val="1F3864" w:themeColor="accent1" w:themeShade="80"/>
          <w:spacing w:val="0"/>
          <w:sz w:val="34"/>
          <w:szCs w:val="32"/>
        </w:rPr>
        <w:t>â</w:t>
      </w:r>
      <w:r w:rsidRPr="00BE7814">
        <w:rPr>
          <w:rFonts w:ascii="HoloLens MDL2 Assets" w:eastAsiaTheme="minorEastAsia" w:hAnsi="HoloLens MDL2 Assets" w:cstheme="minorBidi"/>
          <w:bCs w:val="0"/>
          <w:caps w:val="0"/>
          <w:color w:val="1F3864" w:themeColor="accent1" w:themeShade="80"/>
          <w:spacing w:val="0"/>
          <w:sz w:val="34"/>
          <w:szCs w:val="32"/>
        </w:rPr>
        <w:t>nia-Republica Moldova</w:t>
      </w:r>
    </w:p>
    <w:p w14:paraId="308C36CD" w14:textId="77777777" w:rsidR="008A0DF8" w:rsidRPr="00BE7814" w:rsidRDefault="008A0DF8" w:rsidP="008A0DF8">
      <w:pPr>
        <w:pStyle w:val="Date"/>
        <w:jc w:val="center"/>
        <w:rPr>
          <w:rFonts w:ascii="HoloLens MDL2 Assets" w:hAnsi="HoloLens MDL2 Assets"/>
          <w:i/>
          <w:iCs/>
          <w:sz w:val="26"/>
          <w:szCs w:val="24"/>
        </w:rPr>
      </w:pPr>
    </w:p>
    <w:p w14:paraId="0E1F1A96" w14:textId="77777777" w:rsidR="008A0DF8" w:rsidRPr="00BE7814" w:rsidRDefault="008A0DF8" w:rsidP="008A0DF8">
      <w:pPr>
        <w:pStyle w:val="Date"/>
        <w:jc w:val="center"/>
        <w:rPr>
          <w:rFonts w:ascii="HoloLens MDL2 Assets" w:hAnsi="HoloLens MDL2 Assets"/>
          <w:i/>
          <w:iCs/>
          <w:sz w:val="26"/>
          <w:szCs w:val="24"/>
        </w:rPr>
      </w:pPr>
      <w:r>
        <w:rPr>
          <w:rFonts w:ascii="Cambria" w:hAnsi="Cambria"/>
          <w:i/>
          <w:iCs/>
          <w:sz w:val="26"/>
          <w:szCs w:val="24"/>
        </w:rPr>
        <w:t xml:space="preserve">Data: </w:t>
      </w:r>
      <w:r w:rsidRPr="00BE7814">
        <w:rPr>
          <w:rFonts w:ascii="HoloLens MDL2 Assets" w:hAnsi="HoloLens MDL2 Assets"/>
          <w:i/>
          <w:iCs/>
          <w:sz w:val="26"/>
          <w:szCs w:val="24"/>
        </w:rPr>
        <w:t>9 aprilie 2024</w:t>
      </w:r>
    </w:p>
    <w:p w14:paraId="5A4BA43D" w14:textId="77777777" w:rsidR="008A0DF8" w:rsidRPr="00BE7814" w:rsidRDefault="008A0DF8" w:rsidP="008A0DF8">
      <w:pPr>
        <w:pStyle w:val="Date"/>
        <w:jc w:val="center"/>
        <w:rPr>
          <w:rFonts w:ascii="HoloLens MDL2 Assets" w:hAnsi="HoloLens MDL2 Assets"/>
          <w:i/>
          <w:iCs/>
          <w:sz w:val="26"/>
          <w:szCs w:val="24"/>
        </w:rPr>
      </w:pPr>
      <w:r w:rsidRPr="00BE7814">
        <w:rPr>
          <w:rFonts w:ascii="HoloLens MDL2 Assets" w:hAnsi="HoloLens MDL2 Assets"/>
          <w:i/>
          <w:iCs/>
          <w:sz w:val="26"/>
          <w:szCs w:val="24"/>
        </w:rPr>
        <w:t>Loca</w:t>
      </w:r>
      <w:r w:rsidRPr="00BE7814">
        <w:rPr>
          <w:rFonts w:ascii="Cambria" w:hAnsi="Cambria" w:cs="Cambria"/>
          <w:i/>
          <w:iCs/>
          <w:sz w:val="26"/>
          <w:szCs w:val="24"/>
        </w:rPr>
        <w:t>ț</w:t>
      </w:r>
      <w:r w:rsidRPr="00BE7814">
        <w:rPr>
          <w:rFonts w:ascii="HoloLens MDL2 Assets" w:hAnsi="HoloLens MDL2 Assets"/>
          <w:i/>
          <w:iCs/>
          <w:sz w:val="26"/>
          <w:szCs w:val="24"/>
        </w:rPr>
        <w:t>ie:</w:t>
      </w:r>
      <w:r w:rsidRPr="00BE7814">
        <w:rPr>
          <w:rFonts w:ascii="HoloLens MDL2 Assets" w:hAnsi="HoloLens MDL2 Assets" w:cs="Calibri"/>
          <w:i/>
          <w:iCs/>
          <w:sz w:val="26"/>
          <w:szCs w:val="24"/>
        </w:rPr>
        <w:t xml:space="preserve"> </w:t>
      </w:r>
      <w:r w:rsidRPr="00BE7814">
        <w:rPr>
          <w:rFonts w:ascii="HoloLens MDL2 Assets" w:hAnsi="HoloLens MDL2 Assets"/>
          <w:i/>
          <w:iCs/>
          <w:sz w:val="26"/>
          <w:szCs w:val="24"/>
        </w:rPr>
        <w:t>Palatul Parlamentului</w:t>
      </w:r>
    </w:p>
    <w:p w14:paraId="22E89765" w14:textId="77777777" w:rsidR="008A0DF8" w:rsidRDefault="008A0DF8" w:rsidP="008A0DF8">
      <w:pPr>
        <w:pStyle w:val="Date"/>
      </w:pPr>
    </w:p>
    <w:tbl>
      <w:tblPr>
        <w:tblStyle w:val="ListTable1Light-Accent5"/>
        <w:tblW w:w="5000" w:type="pct"/>
        <w:tblLayout w:type="fixed"/>
        <w:tblLook w:val="04A0" w:firstRow="1" w:lastRow="0" w:firstColumn="1" w:lastColumn="0" w:noHBand="0" w:noVBand="1"/>
        <w:tblDescription w:val="Primul tabel are titlul întâlnirii, data și ora, al doilea are detaliile întâlnirii, iar al treilea tabel are descrierea activității de întâlnire"/>
      </w:tblPr>
      <w:tblGrid>
        <w:gridCol w:w="2630"/>
        <w:gridCol w:w="7548"/>
      </w:tblGrid>
      <w:tr w:rsidR="008A0DF8" w:rsidRPr="004E78E5" w14:paraId="7A3EA432" w14:textId="77777777" w:rsidTr="003E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5004D25C" w14:textId="77777777" w:rsidR="008A0DF8" w:rsidRPr="0099359E" w:rsidRDefault="008A0DF8" w:rsidP="003E7D4C">
            <w:pPr>
              <w:pStyle w:val="Heading3"/>
              <w:spacing w:beforeLines="120" w:before="288" w:afterLines="120" w:after="288"/>
              <w:rPr>
                <w:rFonts w:ascii="HoloLens MDL2 Assets" w:hAnsi="HoloLens MDL2 Assets"/>
                <w:b/>
                <w:bCs/>
              </w:rPr>
            </w:pPr>
            <w:r w:rsidRPr="0099359E">
              <w:rPr>
                <w:rFonts w:ascii="HoloLens MDL2 Assets" w:hAnsi="HoloLens MDL2 Assets"/>
                <w:b/>
                <w:bCs/>
              </w:rPr>
              <w:t>13:20-14:00</w:t>
            </w:r>
          </w:p>
        </w:tc>
        <w:tc>
          <w:tcPr>
            <w:tcW w:w="7548" w:type="dxa"/>
          </w:tcPr>
          <w:p w14:paraId="6406F700" w14:textId="77777777" w:rsidR="008A0DF8" w:rsidRPr="004E78E5" w:rsidRDefault="008A0DF8" w:rsidP="003E7D4C">
            <w:pPr>
              <w:spacing w:beforeLines="120" w:before="288" w:afterLines="120" w:after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Acces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i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î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nregistrare participan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</w:t>
            </w:r>
          </w:p>
        </w:tc>
      </w:tr>
      <w:tr w:rsidR="008A0DF8" w:rsidRPr="004E78E5" w14:paraId="06C133C4" w14:textId="77777777" w:rsidTr="003E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502E1344" w14:textId="77777777" w:rsidR="008A0DF8" w:rsidRPr="0099359E" w:rsidRDefault="008A0DF8" w:rsidP="003E7D4C">
            <w:pPr>
              <w:pStyle w:val="Heading3"/>
              <w:spacing w:before="120" w:after="120"/>
              <w:rPr>
                <w:rFonts w:ascii="HoloLens MDL2 Assets" w:hAnsi="HoloLens MDL2 Assets"/>
                <w:b/>
                <w:bCs/>
              </w:rPr>
            </w:pPr>
            <w:r w:rsidRPr="0099359E">
              <w:rPr>
                <w:rFonts w:ascii="HoloLens MDL2 Assets" w:hAnsi="HoloLens MDL2 Assets"/>
                <w:b/>
                <w:bCs/>
              </w:rPr>
              <w:t>14:00-14:20</w:t>
            </w:r>
          </w:p>
        </w:tc>
        <w:tc>
          <w:tcPr>
            <w:tcW w:w="7548" w:type="dxa"/>
          </w:tcPr>
          <w:p w14:paraId="12A5F059" w14:textId="77777777" w:rsidR="008A0DF8" w:rsidRPr="004E78E5" w:rsidRDefault="008A0DF8" w:rsidP="003E7D4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oLens MDL2 Assets" w:eastAsiaTheme="majorEastAsia" w:hAnsi="HoloLens MDL2 Assets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4E78E5">
              <w:rPr>
                <w:rFonts w:ascii="HoloLens MDL2 Assets" w:eastAsiaTheme="majorEastAsia" w:hAnsi="HoloLens MDL2 Assets" w:cstheme="majorBidi"/>
                <w:b/>
                <w:bCs/>
                <w:color w:val="1F3763" w:themeColor="accent1" w:themeShade="7F"/>
                <w:sz w:val="24"/>
                <w:szCs w:val="24"/>
              </w:rPr>
              <w:t>Sesiunea de deschidere</w:t>
            </w:r>
          </w:p>
          <w:p w14:paraId="0302353E" w14:textId="77777777" w:rsidR="008A0DF8" w:rsidRPr="004E78E5" w:rsidRDefault="008A0DF8" w:rsidP="003E7D4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Alocu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iunile Ministrului Economiei, </w:t>
            </w:r>
            <w:proofErr w:type="spellStart"/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Antreprenoriatului</w:t>
            </w:r>
            <w:proofErr w:type="spellEnd"/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i Turismului,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tefan-Radu OPREA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 a viceprim-ministrului, ministrului dezvolt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rii economice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 digitaliz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rii, Dumitru ALAIBA</w:t>
            </w:r>
          </w:p>
        </w:tc>
      </w:tr>
      <w:tr w:rsidR="008A0DF8" w:rsidRPr="004E78E5" w14:paraId="7BC14C86" w14:textId="77777777" w:rsidTr="003E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3CEB8813" w14:textId="77777777" w:rsidR="008A0DF8" w:rsidRPr="0099359E" w:rsidRDefault="008A0DF8" w:rsidP="003E7D4C">
            <w:pPr>
              <w:pStyle w:val="Heading3"/>
              <w:spacing w:before="120" w:after="120"/>
              <w:contextualSpacing w:val="0"/>
              <w:rPr>
                <w:rFonts w:ascii="HoloLens MDL2 Assets" w:hAnsi="HoloLens MDL2 Assets"/>
                <w:b/>
                <w:bCs/>
              </w:rPr>
            </w:pPr>
            <w:r w:rsidRPr="0099359E">
              <w:rPr>
                <w:rFonts w:ascii="HoloLens MDL2 Assets" w:hAnsi="HoloLens MDL2 Assets"/>
                <w:b/>
                <w:bCs/>
              </w:rPr>
              <w:t>14:20-15:20</w:t>
            </w:r>
          </w:p>
        </w:tc>
        <w:tc>
          <w:tcPr>
            <w:tcW w:w="7548" w:type="dxa"/>
          </w:tcPr>
          <w:p w14:paraId="32D00F45" w14:textId="77777777" w:rsidR="008A0DF8" w:rsidRPr="004E78E5" w:rsidRDefault="008A0DF8" w:rsidP="003E7D4C">
            <w:pPr>
              <w:pStyle w:val="Heading3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b w:val="0"/>
                <w:bCs w:val="0"/>
                <w:i/>
                <w:iCs/>
              </w:rPr>
            </w:pPr>
            <w:r w:rsidRPr="004E78E5">
              <w:rPr>
                <w:rFonts w:ascii="HoloLens MDL2 Assets" w:hAnsi="HoloLens MDL2 Assets"/>
              </w:rPr>
              <w:t>Panel</w:t>
            </w:r>
            <w:r w:rsidRPr="004E78E5">
              <w:rPr>
                <w:rFonts w:ascii="HoloLens MDL2 Assets" w:hAnsi="HoloLens MDL2 Assets"/>
                <w:b w:val="0"/>
                <w:bCs w:val="0"/>
                <w:i/>
                <w:iCs/>
              </w:rPr>
              <w:t xml:space="preserve"> </w:t>
            </w:r>
            <w:r w:rsidRPr="004E78E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–</w:t>
            </w:r>
            <w:r w:rsidRPr="004E78E5">
              <w:rPr>
                <w:rFonts w:ascii="HoloLens MDL2 Assets" w:hAnsi="HoloLens MDL2 Assets"/>
                <w:b w:val="0"/>
                <w:bCs w:val="0"/>
                <w:i/>
                <w:iCs/>
              </w:rPr>
              <w:t xml:space="preserve"> titlul urmeaz</w:t>
            </w:r>
            <w:r w:rsidRPr="004E78E5">
              <w:rPr>
                <w:rFonts w:ascii="Cambria" w:hAnsi="Cambria" w:cs="Cambria"/>
                <w:b w:val="0"/>
                <w:bCs w:val="0"/>
                <w:i/>
                <w:iCs/>
              </w:rPr>
              <w:t>ă</w:t>
            </w:r>
            <w:r w:rsidRPr="004E78E5">
              <w:rPr>
                <w:rFonts w:ascii="HoloLens MDL2 Assets" w:hAnsi="HoloLens MDL2 Assets"/>
                <w:b w:val="0"/>
                <w:bCs w:val="0"/>
                <w:i/>
                <w:iCs/>
              </w:rPr>
              <w:t xml:space="preserve"> a fi stabilit</w:t>
            </w:r>
          </w:p>
          <w:p w14:paraId="72E69478" w14:textId="77777777" w:rsidR="008A0DF8" w:rsidRPr="004E78E5" w:rsidRDefault="008A0DF8" w:rsidP="003E7D4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/>
                <w:sz w:val="24"/>
                <w:szCs w:val="24"/>
              </w:rPr>
            </w:pPr>
            <w:proofErr w:type="spellStart"/>
            <w:r w:rsidRPr="004E78E5">
              <w:rPr>
                <w:rFonts w:ascii="HoloLens MDL2 Assets" w:hAnsi="HoloLens MDL2 Assets"/>
                <w:sz w:val="24"/>
                <w:szCs w:val="24"/>
              </w:rPr>
              <w:t>Paneli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ti</w:t>
            </w:r>
            <w:proofErr w:type="spellEnd"/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(TBC)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 xml:space="preserve">: </w:t>
            </w:r>
          </w:p>
          <w:p w14:paraId="12DAA799" w14:textId="77777777" w:rsidR="008A0DF8" w:rsidRPr="004E78E5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bookmarkStart w:id="1" w:name="_Hlk162030171"/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Daniel-C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t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lin ZAMFIR, Pre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edinte al Comisiei economice, industrii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ş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 servicii, Senatul Rom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â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niei;</w:t>
            </w:r>
          </w:p>
          <w:p w14:paraId="695C508D" w14:textId="77777777" w:rsidR="008A0DF8" w:rsidRPr="004E78E5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Costel Neculai DUNAVA, </w:t>
            </w:r>
            <w:proofErr w:type="spellStart"/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Pre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ş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edinte</w:t>
            </w:r>
            <w:proofErr w:type="spellEnd"/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al Comisiei pentru politic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economic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, reform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ş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 privatizare, Camera Deputa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ilor; </w:t>
            </w:r>
          </w:p>
          <w:p w14:paraId="158B255D" w14:textId="77777777" w:rsidR="008A0DF8" w:rsidRPr="004E78E5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Rare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BURLACU, Pre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edinte Agen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ia Rom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â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n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pentru Investi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ii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 Comer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Exterior; </w:t>
            </w:r>
          </w:p>
          <w:p w14:paraId="16252918" w14:textId="77777777" w:rsidR="008A0DF8" w:rsidRPr="004E78E5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Natalia BEJAN, Director General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 xml:space="preserve"> 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Institu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ia Public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ă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Agen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ia de Investi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ii;</w:t>
            </w:r>
          </w:p>
          <w:p w14:paraId="2AA63C10" w14:textId="77777777" w:rsidR="008A0DF8" w:rsidRPr="004E78E5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/>
                <w:sz w:val="24"/>
                <w:szCs w:val="24"/>
              </w:rPr>
              <w:t>Mihai DARABAN, Pre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edinte Camera de Comer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 xml:space="preserve">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i Industrie a Rom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â</w:t>
            </w:r>
            <w:r w:rsidRPr="004E78E5">
              <w:rPr>
                <w:rFonts w:ascii="HoloLens MDL2 Assets" w:hAnsi="HoloLens MDL2 Assets" w:cs="Calibri"/>
                <w:sz w:val="24"/>
                <w:szCs w:val="24"/>
              </w:rPr>
              <w:t>niei;</w:t>
            </w:r>
          </w:p>
          <w:p w14:paraId="465AEA15" w14:textId="77777777" w:rsidR="008A0DF8" w:rsidRPr="004E78E5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/>
                <w:sz w:val="24"/>
                <w:szCs w:val="24"/>
              </w:rPr>
              <w:t>Sergiu HAREA, Pre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>edinte Camera de Comer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 xml:space="preserve">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>i Industrie a Republicii Moldova;</w:t>
            </w:r>
          </w:p>
          <w:p w14:paraId="28D31148" w14:textId="77777777" w:rsidR="008A0DF8" w:rsidRPr="005F2CA6" w:rsidRDefault="008A0DF8" w:rsidP="008A0DF8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  <w:r w:rsidRPr="004E78E5">
              <w:rPr>
                <w:rFonts w:ascii="HoloLens MDL2 Assets" w:hAnsi="HoloLens MDL2 Assets"/>
                <w:sz w:val="24"/>
                <w:szCs w:val="24"/>
              </w:rPr>
              <w:t>Dan NU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>IU, Pre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ș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>edinte executiv Asocia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ț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>ia Investitorilor din Rom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â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 xml:space="preserve">nia </w:t>
            </w:r>
            <w:r w:rsidRPr="004E78E5">
              <w:rPr>
                <w:rFonts w:ascii="Cambria" w:hAnsi="Cambria" w:cs="Cambria"/>
                <w:sz w:val="24"/>
                <w:szCs w:val="24"/>
              </w:rPr>
              <w:t>î</w:t>
            </w:r>
            <w:r w:rsidRPr="004E78E5">
              <w:rPr>
                <w:rFonts w:ascii="HoloLens MDL2 Assets" w:hAnsi="HoloLens MDL2 Assets"/>
                <w:sz w:val="24"/>
                <w:szCs w:val="24"/>
              </w:rPr>
              <w:t>n Republica Moldova;</w:t>
            </w:r>
          </w:p>
          <w:bookmarkEnd w:id="1"/>
          <w:p w14:paraId="09401DBB" w14:textId="6E65B886" w:rsidR="008A0DF8" w:rsidRPr="004E78E5" w:rsidRDefault="008A0DF8" w:rsidP="008A0DF8">
            <w:pPr>
              <w:pStyle w:val="ListParagraph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oLens MDL2 Assets" w:hAnsi="HoloLens MDL2 Assets" w:cs="Calibri"/>
                <w:sz w:val="24"/>
                <w:szCs w:val="24"/>
              </w:rPr>
            </w:pPr>
          </w:p>
        </w:tc>
      </w:tr>
      <w:tr w:rsidR="008A0DF8" w:rsidRPr="004E78E5" w14:paraId="49A744B7" w14:textId="77777777" w:rsidTr="003E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41A1A4BC" w14:textId="77777777" w:rsidR="008A0DF8" w:rsidRPr="0099359E" w:rsidRDefault="008A0DF8" w:rsidP="003E7D4C">
            <w:pPr>
              <w:pStyle w:val="Heading3"/>
              <w:spacing w:before="120" w:afterLines="120" w:after="288"/>
              <w:rPr>
                <w:rFonts w:ascii="HoloLens MDL2 Assets" w:hAnsi="HoloLens MDL2 Assets"/>
                <w:b/>
                <w:bCs/>
              </w:rPr>
            </w:pPr>
            <w:r w:rsidRPr="0099359E">
              <w:rPr>
                <w:rFonts w:ascii="HoloLens MDL2 Assets" w:hAnsi="HoloLens MDL2 Assets"/>
                <w:b/>
                <w:bCs/>
              </w:rPr>
              <w:t>15:20-17:30</w:t>
            </w:r>
          </w:p>
        </w:tc>
        <w:tc>
          <w:tcPr>
            <w:tcW w:w="7548" w:type="dxa"/>
          </w:tcPr>
          <w:p w14:paraId="713998C9" w14:textId="77777777" w:rsidR="008A0DF8" w:rsidRPr="004E78E5" w:rsidRDefault="008A0DF8" w:rsidP="003E7D4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oLens MDL2 Assets" w:hAnsi="HoloLens MDL2 Assets"/>
                <w:b/>
                <w:bCs/>
                <w:sz w:val="24"/>
                <w:szCs w:val="24"/>
              </w:rPr>
            </w:pPr>
            <w:r w:rsidRPr="004E78E5">
              <w:rPr>
                <w:rFonts w:ascii="HoloLens MDL2 Assets" w:eastAsiaTheme="majorEastAsia" w:hAnsi="HoloLens MDL2 Assets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B2B </w:t>
            </w:r>
            <w:proofErr w:type="spellStart"/>
            <w:r w:rsidRPr="004E78E5">
              <w:rPr>
                <w:rFonts w:ascii="HoloLens MDL2 Assets" w:eastAsiaTheme="majorEastAsia" w:hAnsi="HoloLens MDL2 Assets" w:cstheme="majorBidi"/>
                <w:b/>
                <w:bCs/>
                <w:color w:val="1F3763" w:themeColor="accent1" w:themeShade="7F"/>
                <w:sz w:val="24"/>
                <w:szCs w:val="24"/>
              </w:rPr>
              <w:t>Networking</w:t>
            </w:r>
            <w:proofErr w:type="spellEnd"/>
          </w:p>
        </w:tc>
      </w:tr>
    </w:tbl>
    <w:p w14:paraId="63F015A1" w14:textId="77777777" w:rsidR="008A0DF8" w:rsidRDefault="008A0DF8" w:rsidP="008A0DF8"/>
    <w:p w14:paraId="0C7AA719" w14:textId="77777777" w:rsidR="008A0DF8" w:rsidRDefault="008A0DF8" w:rsidP="008A0DF8">
      <w:pPr>
        <w:pBdr>
          <w:bottom w:val="single" w:sz="6" w:space="1" w:color="auto"/>
        </w:pBd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7548"/>
      </w:tblGrid>
      <w:tr w:rsidR="008A0DF8" w:rsidRPr="00805687" w14:paraId="3B6000EE" w14:textId="77777777" w:rsidTr="003E7D4C">
        <w:tc>
          <w:tcPr>
            <w:tcW w:w="2630" w:type="dxa"/>
          </w:tcPr>
          <w:p w14:paraId="58691145" w14:textId="77777777" w:rsidR="008A0DF8" w:rsidRPr="003A254D" w:rsidRDefault="008A0DF8" w:rsidP="003E7D4C">
            <w:pPr>
              <w:pStyle w:val="Heading3"/>
              <w:rPr>
                <w:color w:val="595959" w:themeColor="text1" w:themeTint="A6"/>
                <w:sz w:val="22"/>
                <w:szCs w:val="22"/>
              </w:rPr>
            </w:pPr>
            <w:r w:rsidRPr="003A254D">
              <w:rPr>
                <w:color w:val="595959" w:themeColor="text1" w:themeTint="A6"/>
                <w:sz w:val="22"/>
                <w:szCs w:val="22"/>
              </w:rPr>
              <w:t>Back-</w:t>
            </w:r>
            <w:proofErr w:type="spellStart"/>
            <w:r w:rsidRPr="003A254D">
              <w:rPr>
                <w:color w:val="595959" w:themeColor="text1" w:themeTint="A6"/>
                <w:sz w:val="22"/>
                <w:szCs w:val="22"/>
              </w:rPr>
              <w:t>up</w:t>
            </w:r>
            <w:proofErr w:type="spellEnd"/>
          </w:p>
          <w:p w14:paraId="51C85DD4" w14:textId="26A86C87" w:rsidR="008A0DF8" w:rsidRPr="003A254D" w:rsidRDefault="008A0DF8" w:rsidP="003E7D4C">
            <w:pPr>
              <w:pStyle w:val="Heading3"/>
              <w:rPr>
                <w:rFonts w:cs="Calibri"/>
                <w:b w:val="0"/>
                <w:bCs w:val="0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548" w:type="dxa"/>
          </w:tcPr>
          <w:p w14:paraId="0EC47F16" w14:textId="77777777" w:rsidR="008A0DF8" w:rsidRPr="003A254D" w:rsidRDefault="008A0DF8" w:rsidP="003E7D4C">
            <w:pPr>
              <w:pStyle w:val="Heading3"/>
              <w:rPr>
                <w:color w:val="595959" w:themeColor="text1" w:themeTint="A6"/>
                <w:sz w:val="22"/>
                <w:szCs w:val="22"/>
              </w:rPr>
            </w:pPr>
            <w:r w:rsidRPr="003A254D">
              <w:rPr>
                <w:color w:val="595959" w:themeColor="text1" w:themeTint="A6"/>
                <w:sz w:val="22"/>
                <w:szCs w:val="22"/>
              </w:rPr>
              <w:t>Panelul ”Bune practici privind comer</w:t>
            </w:r>
            <w:r w:rsidRPr="003A254D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ț</w:t>
            </w:r>
            <w:r w:rsidRPr="003A254D">
              <w:rPr>
                <w:color w:val="595959" w:themeColor="text1" w:themeTint="A6"/>
                <w:sz w:val="22"/>
                <w:szCs w:val="22"/>
              </w:rPr>
              <w:t>ul bilateral, în contextul integrării progresive a RM pe pia</w:t>
            </w:r>
            <w:r w:rsidRPr="003A254D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ț</w:t>
            </w:r>
            <w:r w:rsidRPr="003A254D">
              <w:rPr>
                <w:color w:val="595959" w:themeColor="text1" w:themeTint="A6"/>
                <w:sz w:val="22"/>
                <w:szCs w:val="22"/>
              </w:rPr>
              <w:t>a intern</w:t>
            </w:r>
            <w:r w:rsidRPr="003A254D">
              <w:rPr>
                <w:rFonts w:ascii="Century Gothic" w:hAnsi="Century Gothic" w:cs="Century Gothic"/>
                <w:color w:val="595959" w:themeColor="text1" w:themeTint="A6"/>
                <w:sz w:val="22"/>
                <w:szCs w:val="22"/>
              </w:rPr>
              <w:t>ă</w:t>
            </w:r>
            <w:r w:rsidRPr="003A254D">
              <w:rPr>
                <w:color w:val="595959" w:themeColor="text1" w:themeTint="A6"/>
                <w:sz w:val="22"/>
                <w:szCs w:val="22"/>
              </w:rPr>
              <w:t xml:space="preserve"> a UE”</w:t>
            </w:r>
          </w:p>
          <w:p w14:paraId="234C2624" w14:textId="26583BC1" w:rsidR="008A0DF8" w:rsidRPr="003A254D" w:rsidRDefault="008A0DF8" w:rsidP="003E7D4C">
            <w:pPr>
              <w:pStyle w:val="Heading3"/>
              <w:rPr>
                <w:rFonts w:eastAsiaTheme="minorEastAsia" w:cstheme="minorBidi"/>
                <w:b w:val="0"/>
                <w:bCs w:val="0"/>
                <w:color w:val="595959" w:themeColor="text1" w:themeTint="A6"/>
                <w:sz w:val="22"/>
                <w:szCs w:val="22"/>
              </w:rPr>
            </w:pPr>
          </w:p>
        </w:tc>
      </w:tr>
      <w:bookmarkEnd w:id="0"/>
    </w:tbl>
    <w:p w14:paraId="6D1079BC" w14:textId="77777777" w:rsidR="008A0DF8" w:rsidRPr="00ED7BB8" w:rsidRDefault="008A0DF8" w:rsidP="008A0DF8">
      <w:pPr>
        <w:tabs>
          <w:tab w:val="left" w:pos="2618"/>
        </w:tabs>
        <w:rPr>
          <w:rFonts w:asciiTheme="majorHAnsi" w:hAnsiTheme="majorHAnsi"/>
        </w:rPr>
      </w:pPr>
    </w:p>
    <w:p w14:paraId="17F29CDC" w14:textId="77777777" w:rsidR="00125779" w:rsidRDefault="00125779"/>
    <w:sectPr w:rsidR="00125779" w:rsidSect="00211B1D">
      <w:footerReference w:type="default" r:id="rId7"/>
      <w:pgSz w:w="11906" w:h="16838" w:code="9"/>
      <w:pgMar w:top="426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EF0A" w14:textId="77777777" w:rsidR="00211B1D" w:rsidRDefault="00211B1D">
      <w:pPr>
        <w:spacing w:after="0"/>
      </w:pPr>
      <w:r>
        <w:separator/>
      </w:r>
    </w:p>
  </w:endnote>
  <w:endnote w:type="continuationSeparator" w:id="0">
    <w:p w14:paraId="504F2050" w14:textId="77777777" w:rsidR="00211B1D" w:rsidRDefault="00211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loLens MDL2 Assets">
    <w:altName w:val="Cambria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01E2" w14:textId="77777777" w:rsidR="0059480A" w:rsidRDefault="008A0DF8">
    <w:pPr>
      <w:pStyle w:val="Footer"/>
    </w:pPr>
    <w:r>
      <w:rPr>
        <w:lang w:bidi="ro-RO"/>
      </w:rPr>
      <w:t xml:space="preserve">Pagina |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9488" w14:textId="77777777" w:rsidR="00211B1D" w:rsidRDefault="00211B1D">
      <w:pPr>
        <w:spacing w:after="0"/>
      </w:pPr>
      <w:r>
        <w:separator/>
      </w:r>
    </w:p>
  </w:footnote>
  <w:footnote w:type="continuationSeparator" w:id="0">
    <w:p w14:paraId="0A617BDD" w14:textId="77777777" w:rsidR="00211B1D" w:rsidRDefault="00211B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F72"/>
    <w:multiLevelType w:val="hybridMultilevel"/>
    <w:tmpl w:val="D1DEA9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12A7"/>
    <w:multiLevelType w:val="hybridMultilevel"/>
    <w:tmpl w:val="A34E9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38200">
    <w:abstractNumId w:val="1"/>
  </w:num>
  <w:num w:numId="2" w16cid:durableId="205287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F8"/>
    <w:rsid w:val="00125779"/>
    <w:rsid w:val="00184F65"/>
    <w:rsid w:val="00211B1D"/>
    <w:rsid w:val="003D2A69"/>
    <w:rsid w:val="0059480A"/>
    <w:rsid w:val="008A0DF8"/>
    <w:rsid w:val="00B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4F22"/>
  <w15:chartTrackingRefBased/>
  <w15:docId w15:val="{3CCD11E5-A09F-4791-B676-E6FCA7CE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F8"/>
    <w:pPr>
      <w:spacing w:after="80" w:line="240" w:lineRule="auto"/>
    </w:pPr>
    <w:rPr>
      <w:rFonts w:eastAsiaTheme="minorEastAsia"/>
      <w:lang w:val="ro-RO" w:eastAsia="ja-JP"/>
    </w:rPr>
  </w:style>
  <w:style w:type="paragraph" w:styleId="Heading1">
    <w:name w:val="heading 1"/>
    <w:basedOn w:val="Normal"/>
    <w:link w:val="Heading1Char"/>
    <w:uiPriority w:val="9"/>
    <w:qFormat/>
    <w:rsid w:val="008A0DF8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</w:rPr>
  </w:style>
  <w:style w:type="paragraph" w:styleId="Heading3">
    <w:name w:val="heading 3"/>
    <w:basedOn w:val="Normal"/>
    <w:link w:val="Heading3Char"/>
    <w:uiPriority w:val="9"/>
    <w:unhideWhenUsed/>
    <w:qFormat/>
    <w:rsid w:val="008A0DF8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F8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val="ro-RO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A0DF8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rsid w:val="008A0DF8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A0DF8"/>
    <w:rPr>
      <w:rFonts w:eastAsiaTheme="minorEastAsia"/>
      <w:lang w:val="ro-RO" w:eastAsia="ja-JP"/>
    </w:rPr>
  </w:style>
  <w:style w:type="table" w:styleId="TableGridLight">
    <w:name w:val="Grid Table Light"/>
    <w:basedOn w:val="TableNormal"/>
    <w:uiPriority w:val="40"/>
    <w:rsid w:val="008A0DF8"/>
    <w:pPr>
      <w:spacing w:after="0" w:line="240" w:lineRule="auto"/>
    </w:pPr>
    <w:rPr>
      <w:rFonts w:eastAsiaTheme="minorEastAsia"/>
      <w:lang w:val="ro-RO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10"/>
    <w:qFormat/>
    <w:rsid w:val="008A0DF8"/>
    <w:pPr>
      <w:spacing w:after="200"/>
      <w:contextualSpacing/>
    </w:pPr>
    <w:rPr>
      <w:b/>
      <w:color w:val="1F3864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8A0DF8"/>
    <w:rPr>
      <w:rFonts w:eastAsiaTheme="minorEastAsia"/>
      <w:b/>
      <w:color w:val="1F3864" w:themeColor="accent1" w:themeShade="80"/>
      <w:sz w:val="24"/>
      <w:lang w:val="ro-RO" w:eastAsia="ja-JP"/>
    </w:rPr>
  </w:style>
  <w:style w:type="paragraph" w:styleId="ListParagraph">
    <w:name w:val="List Paragraph"/>
    <w:basedOn w:val="Normal"/>
    <w:uiPriority w:val="34"/>
    <w:unhideWhenUsed/>
    <w:qFormat/>
    <w:rsid w:val="008A0DF8"/>
    <w:pPr>
      <w:ind w:left="720"/>
      <w:contextualSpacing/>
    </w:pPr>
  </w:style>
  <w:style w:type="table" w:styleId="ListTable1Light-Accent5">
    <w:name w:val="List Table 1 Light Accent 5"/>
    <w:basedOn w:val="TableNormal"/>
    <w:uiPriority w:val="46"/>
    <w:rsid w:val="008A0DF8"/>
    <w:pPr>
      <w:spacing w:after="0" w:line="240" w:lineRule="auto"/>
    </w:pPr>
    <w:rPr>
      <w:rFonts w:eastAsiaTheme="minorEastAsia"/>
      <w:lang w:val="ro-RO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HPINVEST</dc:creator>
  <cp:keywords/>
  <dc:description/>
  <cp:lastModifiedBy>Inga Leontean</cp:lastModifiedBy>
  <cp:revision>3</cp:revision>
  <dcterms:created xsi:type="dcterms:W3CDTF">2024-04-03T05:57:00Z</dcterms:created>
  <dcterms:modified xsi:type="dcterms:W3CDTF">2024-04-03T06:13:00Z</dcterms:modified>
</cp:coreProperties>
</file>